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866" w:rsidRDefault="00041866" w:rsidP="00041866">
      <w:pPr>
        <w:jc w:val="center"/>
        <w:rPr>
          <w:rFonts w:ascii="Arial" w:hAnsi="Arial" w:cs="Arial"/>
          <w:b/>
          <w:sz w:val="32"/>
          <w:szCs w:val="32"/>
        </w:rPr>
      </w:pPr>
    </w:p>
    <w:p w:rsidR="00C55E06" w:rsidRDefault="00041866" w:rsidP="00041866">
      <w:pPr>
        <w:jc w:val="center"/>
        <w:rPr>
          <w:rFonts w:ascii="Arial" w:hAnsi="Arial" w:cs="Arial"/>
          <w:b/>
          <w:sz w:val="32"/>
          <w:szCs w:val="32"/>
        </w:rPr>
      </w:pPr>
      <w:r w:rsidRPr="00041866">
        <w:rPr>
          <w:rFonts w:ascii="Arial" w:hAnsi="Arial" w:cs="Arial"/>
          <w:b/>
          <w:sz w:val="32"/>
          <w:szCs w:val="32"/>
        </w:rPr>
        <w:t>ΔΕΛΤΙΟ ΤΥΠΟΥ</w:t>
      </w:r>
    </w:p>
    <w:p w:rsidR="00041866" w:rsidRPr="00AA18D9" w:rsidRDefault="00041866" w:rsidP="00041866">
      <w:pPr>
        <w:jc w:val="right"/>
        <w:rPr>
          <w:rFonts w:ascii="Arial" w:hAnsi="Arial" w:cs="Arial"/>
          <w:i/>
        </w:rPr>
      </w:pPr>
      <w:r w:rsidRPr="00AA18D9">
        <w:rPr>
          <w:rFonts w:ascii="Arial" w:hAnsi="Arial" w:cs="Arial"/>
          <w:i/>
        </w:rPr>
        <w:t>Αθήνα 16-03-2017</w:t>
      </w:r>
    </w:p>
    <w:p w:rsidR="00041866" w:rsidRPr="00041866" w:rsidRDefault="00041866" w:rsidP="00041866">
      <w:pPr>
        <w:jc w:val="center"/>
        <w:rPr>
          <w:rFonts w:ascii="Arial" w:hAnsi="Arial" w:cs="Arial"/>
          <w:b/>
          <w:sz w:val="32"/>
          <w:szCs w:val="32"/>
        </w:rPr>
      </w:pPr>
    </w:p>
    <w:p w:rsidR="00C55E06" w:rsidRDefault="00C55E06" w:rsidP="00EA79C0">
      <w:pPr>
        <w:rPr>
          <w:rFonts w:ascii="Arial" w:hAnsi="Arial" w:cs="Arial"/>
          <w:b/>
          <w:u w:val="single"/>
        </w:rPr>
      </w:pPr>
    </w:p>
    <w:p w:rsidR="004D0867" w:rsidRPr="00EA79C0" w:rsidRDefault="00EA79C0" w:rsidP="00EA79C0">
      <w:pPr>
        <w:rPr>
          <w:rFonts w:ascii="Arial" w:hAnsi="Arial" w:cs="Arial"/>
          <w:b/>
          <w:u w:val="single"/>
        </w:rPr>
      </w:pPr>
      <w:r w:rsidRPr="00EA79C0">
        <w:rPr>
          <w:rFonts w:ascii="Arial" w:hAnsi="Arial" w:cs="Arial"/>
          <w:b/>
          <w:u w:val="single"/>
        </w:rPr>
        <w:t xml:space="preserve">Για τα 60 χρόνια </w:t>
      </w:r>
    </w:p>
    <w:p w:rsidR="00EA79C0" w:rsidRDefault="00EA79C0" w:rsidP="00EA79C0">
      <w:pPr>
        <w:rPr>
          <w:rFonts w:ascii="Arial" w:hAnsi="Arial" w:cs="Arial"/>
          <w:b/>
          <w:u w:val="single"/>
        </w:rPr>
      </w:pPr>
      <w:r w:rsidRPr="00EA79C0">
        <w:rPr>
          <w:rFonts w:ascii="Arial" w:hAnsi="Arial" w:cs="Arial"/>
          <w:b/>
          <w:u w:val="single"/>
        </w:rPr>
        <w:t>της Ευρωπαϊκής Ένωσης</w:t>
      </w:r>
    </w:p>
    <w:p w:rsidR="00EA79C0" w:rsidRPr="00041866" w:rsidRDefault="00EA79C0" w:rsidP="00EA79C0">
      <w:pPr>
        <w:spacing w:line="276" w:lineRule="auto"/>
        <w:ind w:firstLine="540"/>
        <w:jc w:val="center"/>
        <w:rPr>
          <w:rFonts w:ascii="Arial" w:hAnsi="Arial" w:cs="Arial"/>
          <w:b/>
          <w:sz w:val="28"/>
          <w:szCs w:val="28"/>
        </w:rPr>
      </w:pPr>
      <w:r>
        <w:rPr>
          <w:rFonts w:ascii="Arial" w:hAnsi="Arial" w:cs="Arial"/>
          <w:b/>
          <w:i/>
        </w:rPr>
        <w:tab/>
      </w:r>
      <w:r w:rsidRPr="00041866">
        <w:rPr>
          <w:rFonts w:ascii="Arial" w:hAnsi="Arial" w:cs="Arial"/>
          <w:b/>
          <w:sz w:val="28"/>
          <w:szCs w:val="28"/>
        </w:rPr>
        <w:t>«</w:t>
      </w:r>
      <w:r w:rsidR="00551FAB" w:rsidRPr="00041866">
        <w:rPr>
          <w:rFonts w:ascii="Arial" w:hAnsi="Arial" w:cs="Arial"/>
          <w:b/>
          <w:sz w:val="28"/>
          <w:szCs w:val="28"/>
        </w:rPr>
        <w:t>Quo</w:t>
      </w:r>
      <w:bookmarkStart w:id="0" w:name="_GoBack"/>
      <w:bookmarkEnd w:id="0"/>
      <w:r w:rsidR="00551FAB" w:rsidRPr="00041866">
        <w:rPr>
          <w:rFonts w:ascii="Arial" w:hAnsi="Arial" w:cs="Arial"/>
          <w:b/>
          <w:sz w:val="28"/>
          <w:szCs w:val="28"/>
        </w:rPr>
        <w:t xml:space="preserve"> </w:t>
      </w:r>
      <w:proofErr w:type="spellStart"/>
      <w:r w:rsidR="00551FAB" w:rsidRPr="00041866">
        <w:rPr>
          <w:rFonts w:ascii="Arial" w:hAnsi="Arial" w:cs="Arial"/>
          <w:b/>
          <w:sz w:val="28"/>
          <w:szCs w:val="28"/>
        </w:rPr>
        <w:t>vadis</w:t>
      </w:r>
      <w:proofErr w:type="spellEnd"/>
      <w:r w:rsidRPr="00041866">
        <w:rPr>
          <w:rFonts w:ascii="Arial" w:hAnsi="Arial" w:cs="Arial"/>
          <w:b/>
          <w:sz w:val="28"/>
          <w:szCs w:val="28"/>
        </w:rPr>
        <w:t xml:space="preserve"> Europa»</w:t>
      </w:r>
    </w:p>
    <w:p w:rsidR="006D49E6" w:rsidRPr="00EA79C0" w:rsidRDefault="00EA79C0" w:rsidP="00EA79C0">
      <w:pPr>
        <w:spacing w:line="276" w:lineRule="auto"/>
        <w:ind w:firstLine="720"/>
        <w:jc w:val="center"/>
        <w:rPr>
          <w:rFonts w:ascii="Arial" w:hAnsi="Arial" w:cs="Arial"/>
          <w:b/>
        </w:rPr>
      </w:pPr>
      <w:r w:rsidRPr="00041866">
        <w:rPr>
          <w:rFonts w:ascii="Arial" w:hAnsi="Arial" w:cs="Arial"/>
          <w:b/>
          <w:sz w:val="28"/>
          <w:szCs w:val="28"/>
        </w:rPr>
        <w:t>Πού πηγαίνεις Ευρώπη;</w:t>
      </w:r>
    </w:p>
    <w:p w:rsidR="00EA79C0" w:rsidRDefault="00EA79C0" w:rsidP="00CC5376">
      <w:pPr>
        <w:ind w:firstLine="720"/>
        <w:jc w:val="right"/>
        <w:rPr>
          <w:rFonts w:ascii="Arial" w:hAnsi="Arial" w:cs="Arial"/>
          <w:b/>
          <w:i/>
        </w:rPr>
      </w:pPr>
    </w:p>
    <w:p w:rsidR="00FA7FFB" w:rsidRPr="00CC5376" w:rsidRDefault="00041866" w:rsidP="00CC5376">
      <w:pPr>
        <w:ind w:firstLine="720"/>
        <w:jc w:val="right"/>
        <w:rPr>
          <w:rFonts w:ascii="Arial" w:hAnsi="Arial" w:cs="Arial"/>
          <w:b/>
          <w:i/>
        </w:rPr>
      </w:pPr>
      <w:r>
        <w:rPr>
          <w:rFonts w:ascii="Arial" w:hAnsi="Arial" w:cs="Arial"/>
          <w:b/>
          <w:i/>
        </w:rPr>
        <w:t xml:space="preserve">Δήλωση </w:t>
      </w:r>
      <w:r w:rsidR="00FA7FFB" w:rsidRPr="00CC5376">
        <w:rPr>
          <w:rFonts w:ascii="Arial" w:hAnsi="Arial" w:cs="Arial"/>
          <w:b/>
          <w:i/>
        </w:rPr>
        <w:t xml:space="preserve">του Δημήτρη Σιούφα </w:t>
      </w:r>
    </w:p>
    <w:p w:rsidR="00FA7FFB" w:rsidRPr="00CC5376" w:rsidRDefault="00CC5376" w:rsidP="00CC5376">
      <w:pPr>
        <w:ind w:firstLine="720"/>
        <w:jc w:val="right"/>
        <w:rPr>
          <w:rFonts w:ascii="Arial" w:hAnsi="Arial" w:cs="Arial"/>
          <w:b/>
          <w:i/>
        </w:rPr>
      </w:pPr>
      <w:r>
        <w:rPr>
          <w:rFonts w:ascii="Arial" w:hAnsi="Arial" w:cs="Arial"/>
          <w:b/>
          <w:i/>
        </w:rPr>
        <w:t>π</w:t>
      </w:r>
      <w:r w:rsidR="00FA7FFB" w:rsidRPr="00CC5376">
        <w:rPr>
          <w:rFonts w:ascii="Arial" w:hAnsi="Arial" w:cs="Arial"/>
          <w:b/>
          <w:i/>
        </w:rPr>
        <w:t xml:space="preserve">ρώην Προέδρου της Βουλής των Ελλήνων </w:t>
      </w:r>
    </w:p>
    <w:p w:rsidR="00365834" w:rsidRPr="00C9466F" w:rsidRDefault="00C9466F" w:rsidP="00C9466F">
      <w:pPr>
        <w:spacing w:after="240"/>
        <w:ind w:firstLine="540"/>
        <w:jc w:val="both"/>
        <w:rPr>
          <w:b/>
          <w:u w:val="single"/>
        </w:rPr>
      </w:pPr>
      <w:r w:rsidRPr="00C9466F">
        <w:rPr>
          <w:b/>
          <w:u w:val="single"/>
        </w:rPr>
        <w:t>Οι φυγόκεντρες τάσεις</w:t>
      </w:r>
    </w:p>
    <w:p w:rsidR="00A92C1B" w:rsidRDefault="00365834" w:rsidP="00C9466F">
      <w:pPr>
        <w:spacing w:after="240"/>
        <w:ind w:firstLine="540"/>
        <w:jc w:val="both"/>
      </w:pPr>
      <w:r>
        <w:t>Καθώς συμπληρώνονται 60 χρόνια από την υπογραφή της Συνθήκης της Ρώμης, της Συνθήκης που θεμελίωσε το ευ</w:t>
      </w:r>
      <w:r w:rsidR="00EA79C0">
        <w:t xml:space="preserve">ρωπαϊκό οικοδόμημα, το ερώτημα «Quo </w:t>
      </w:r>
      <w:proofErr w:type="spellStart"/>
      <w:r w:rsidR="00EA79C0">
        <w:t>va</w:t>
      </w:r>
      <w:proofErr w:type="spellEnd"/>
      <w:r w:rsidR="00551FAB">
        <w:rPr>
          <w:lang w:val="en-US"/>
        </w:rPr>
        <w:t>d</w:t>
      </w:r>
      <w:proofErr w:type="spellStart"/>
      <w:r w:rsidR="00EA79C0">
        <w:t>is</w:t>
      </w:r>
      <w:proofErr w:type="spellEnd"/>
      <w:r w:rsidR="00EA79C0">
        <w:t xml:space="preserve"> Europa»</w:t>
      </w:r>
      <w:r>
        <w:t xml:space="preserve"> επανέρχεται πιο επιτακτικά από ποτέ. Είναι, άλλωστε, αυταπόδεικτο πως η οικονομική κρίση, το προσφυγικό, η πεποίθηση υποταγής των ευρωπαϊκών θεσμών στους ισχυρούς της Ευρώπης, προκάλεσαν έντονο </w:t>
      </w:r>
      <w:proofErr w:type="spellStart"/>
      <w:r>
        <w:t>ευρωσκεπτικισμό</w:t>
      </w:r>
      <w:proofErr w:type="spellEnd"/>
      <w:r>
        <w:t xml:space="preserve"> σε πολλές χώρες. Έφεραν ήδη το </w:t>
      </w:r>
      <w:proofErr w:type="spellStart"/>
      <w:r>
        <w:t>Brexit</w:t>
      </w:r>
      <w:proofErr w:type="spellEnd"/>
      <w:r>
        <w:t>, άνοδο των εθνικιστικών κομμάτων, αλλά και φυγόκεντρες τάσεις που - αν συνεχιστούν - δεν πρόκειται να αφήσουν τίποτε όρθιο.</w:t>
      </w:r>
      <w:r w:rsidR="00551FAB">
        <w:t xml:space="preserve"> </w:t>
      </w:r>
    </w:p>
    <w:p w:rsidR="00365834" w:rsidRDefault="00551FAB" w:rsidP="00365834">
      <w:pPr>
        <w:ind w:firstLine="540"/>
        <w:jc w:val="both"/>
      </w:pPr>
      <w:r>
        <w:t xml:space="preserve">Οι εξαγγελθείσες πολιτικές - αν συνεχιστούν – της νέας Αμερικανικής κυβέρνησης, </w:t>
      </w:r>
      <w:r w:rsidR="00365834">
        <w:t>απέναντι στην Ε.Ε</w:t>
      </w:r>
      <w:r>
        <w:t>, οδηγούν σε νέες πραγματικότητες</w:t>
      </w:r>
      <w:r w:rsidR="00365834">
        <w:t xml:space="preserve"> και καμιά χώρα δεν θα μπορούσε να τις αντιμετωπίσει μόνη. Σε κάθε περίπτωση, δείχνουν ξεκάθαρα πως, σήμερα, πιο πολύ από ποτέ, </w:t>
      </w:r>
      <w:r w:rsidR="00365834" w:rsidRPr="00AC6E69">
        <w:rPr>
          <w:b/>
        </w:rPr>
        <w:t xml:space="preserve">χρειαζόμαστε περισσότερη </w:t>
      </w:r>
      <w:r w:rsidRPr="00AC6E69">
        <w:rPr>
          <w:b/>
        </w:rPr>
        <w:t xml:space="preserve">και καλύτερη </w:t>
      </w:r>
      <w:r w:rsidR="00365834" w:rsidRPr="00AC6E69">
        <w:rPr>
          <w:b/>
        </w:rPr>
        <w:t>και όχι λιγότερη Ευρώπη</w:t>
      </w:r>
      <w:r w:rsidR="00365834">
        <w:t xml:space="preserve">. </w:t>
      </w:r>
    </w:p>
    <w:p w:rsidR="00C9466F" w:rsidRPr="00C9466F" w:rsidRDefault="00C9466F" w:rsidP="00C9466F">
      <w:pPr>
        <w:spacing w:before="240" w:after="240"/>
        <w:ind w:firstLine="540"/>
        <w:jc w:val="both"/>
        <w:rPr>
          <w:b/>
          <w:u w:val="single"/>
        </w:rPr>
      </w:pPr>
      <w:r w:rsidRPr="00C9466F">
        <w:rPr>
          <w:b/>
          <w:u w:val="single"/>
        </w:rPr>
        <w:t>Η λευκή βίβλος</w:t>
      </w:r>
    </w:p>
    <w:p w:rsidR="00365834" w:rsidRDefault="00365834" w:rsidP="00C9466F">
      <w:pPr>
        <w:spacing w:before="240" w:after="240"/>
        <w:ind w:firstLine="540"/>
        <w:jc w:val="both"/>
      </w:pPr>
      <w:r>
        <w:t>Μπροστά σε όλα αυτά και ενόψει της επετειακής Συνόδου Κορυφής, στις 25 Μαρτίου, ο Πρόεδρος της Ευρωπαϊκής Επιτροπής έχει παρουσιάσει, κάτω από τον τίτλο ‘’Λευκή Βίβλος’’, πέντε διαφορετικές διαδρομές, υπογραμμίζοντας πως μπορεί να αποτελέσουν την αρχή και όχι το τέλος του διαλόγου για το μέλλον της Ένωσης. Παρόλα αυτά, οι ηγέτες των τεσσάρων μεγαλύτερων χωρών της Ένωσης - της Γερμανίας, της Γαλλί</w:t>
      </w:r>
      <w:r w:rsidR="001B4B6D">
        <w:t>ας, της Ιταλίας και της Ισπαν</w:t>
      </w:r>
      <w:r>
        <w:t xml:space="preserve">ίας - σε πρόσφατη συνάντησή τους, έχουν ταχθεί υπέρ της Ευρώπης των πολλών ταχυτήτων. Έδειξαν, έτσι, πως η διακήρυξη στην οποία μπορεί να καταλήξει η επετειακή Σύνοδος έχει - σε ένα μεγάλο βαθμό - προαποφασιστεί. </w:t>
      </w:r>
    </w:p>
    <w:p w:rsidR="00C9466F" w:rsidRPr="00C9466F" w:rsidRDefault="00C9466F" w:rsidP="00C9466F">
      <w:pPr>
        <w:spacing w:after="240"/>
        <w:ind w:firstLine="540"/>
        <w:jc w:val="both"/>
        <w:rPr>
          <w:b/>
          <w:u w:val="single"/>
        </w:rPr>
      </w:pPr>
      <w:r w:rsidRPr="00C9466F">
        <w:rPr>
          <w:b/>
          <w:u w:val="single"/>
        </w:rPr>
        <w:t>Να μπουν μπροστά οι πολίτες</w:t>
      </w:r>
    </w:p>
    <w:p w:rsidR="00365834" w:rsidRDefault="00365834" w:rsidP="00C9466F">
      <w:pPr>
        <w:spacing w:after="240"/>
        <w:ind w:firstLine="540"/>
        <w:jc w:val="both"/>
      </w:pPr>
      <w:r>
        <w:t>Είναι βέβαια γεγονός ότι τόσο η δημιουργία της</w:t>
      </w:r>
      <w:r w:rsidR="00EA79C0">
        <w:t xml:space="preserve"> Ευρωζώνης, όσο και η Συνθήκη </w:t>
      </w:r>
      <w:proofErr w:type="spellStart"/>
      <w:r w:rsidR="00EA79C0">
        <w:t>Σέ</w:t>
      </w:r>
      <w:r>
        <w:t>νγκεν</w:t>
      </w:r>
      <w:proofErr w:type="spellEnd"/>
      <w:r>
        <w:t xml:space="preserve">, έχουν ήδη ανοίξει το δρόμο για την Ευρώπη των πολλών ταχυτήτων. Επικράτησε, στις περιπτώσεις αυτές, η αρχή των ενισχυμένων συνεργασιών στη βάση κοινά αποδεκτών αρχών, χωρίς αποκλεισμούς. Δημιουργήθηκε μια ευαίσθητη ισορροπία που χρειάζεται ενίσχυση και όχι αποδυνάμωση. </w:t>
      </w:r>
      <w:r w:rsidR="00AC6E69" w:rsidRPr="00041866">
        <w:rPr>
          <w:b/>
        </w:rPr>
        <w:t xml:space="preserve">Το σχήμα που φαίνεται ότι </w:t>
      </w:r>
      <w:r w:rsidR="00AC6E69" w:rsidRPr="00041866">
        <w:rPr>
          <w:b/>
        </w:rPr>
        <w:lastRenderedPageBreak/>
        <w:t xml:space="preserve">προαποφασίστηκε, γίνεται ερήμην των πολιτών. </w:t>
      </w:r>
      <w:r w:rsidR="00AA18D9" w:rsidRPr="00041866">
        <w:rPr>
          <w:b/>
        </w:rPr>
        <w:t>Και είναι σχήμα για να διαφυλαχθε</w:t>
      </w:r>
      <w:r w:rsidR="004D27FE">
        <w:rPr>
          <w:b/>
        </w:rPr>
        <w:t>ί το σύστημα, αγνοώντας ότι χάνου</w:t>
      </w:r>
      <w:r w:rsidR="00AA18D9" w:rsidRPr="00041866">
        <w:rPr>
          <w:b/>
        </w:rPr>
        <w:t>με έτσι τους πολίτες. Μόνο οι Ευρωπαίοι πολίτες μπορούν να υπερασπιστούν το Ευρωπαϊκό ιδεώδες, τις αρχές και τις αξίες του, την Δημοκρατία και το Ευρωπαϊκό κοινωνικό πρότυπο.</w:t>
      </w:r>
      <w:r w:rsidR="00AA18D9">
        <w:t xml:space="preserve"> </w:t>
      </w:r>
      <w:r>
        <w:t xml:space="preserve">Εάν, άλλωστε, επικρατήσουν συνθήκες Βαβέλ, </w:t>
      </w:r>
      <w:r w:rsidR="00041866">
        <w:t xml:space="preserve">οι κίνδυνοι είναι ορατοί και καταστροφικοί.  </w:t>
      </w:r>
      <w:r>
        <w:t>Το τέλος του ευρωπαϊκού οράματος,</w:t>
      </w:r>
      <w:r w:rsidR="00551FAB">
        <w:t xml:space="preserve"> και σχεδόν </w:t>
      </w:r>
      <w:r>
        <w:t xml:space="preserve">σε μια τέτοια περίπτωση, θα είναι αναπόφευκτο, άδοξο και οδυνηρό. Και αυτό θα είναι ιστορικό έγκλημα </w:t>
      </w:r>
      <w:r w:rsidR="002D4A9D">
        <w:t xml:space="preserve">των σημερινών </w:t>
      </w:r>
      <w:r>
        <w:t>Ευρωπαίων ηγετών</w:t>
      </w:r>
      <w:r w:rsidR="002D4A9D">
        <w:t xml:space="preserve">, οι οποίοι έστω και αργά </w:t>
      </w:r>
      <w:r>
        <w:t xml:space="preserve"> </w:t>
      </w:r>
      <w:r w:rsidR="002D4A9D">
        <w:t xml:space="preserve">οφείλουν να </w:t>
      </w:r>
      <w:r>
        <w:t>αποδε</w:t>
      </w:r>
      <w:r w:rsidR="002D4A9D">
        <w:t>ιχτούν αντάξιοι</w:t>
      </w:r>
      <w:r w:rsidR="00041866">
        <w:t>,</w:t>
      </w:r>
      <w:r w:rsidR="002D4A9D">
        <w:t xml:space="preserve"> στην </w:t>
      </w:r>
      <w:r w:rsidR="000E2238">
        <w:t>πρόκληση της Ι</w:t>
      </w:r>
      <w:r>
        <w:t>στορίας.</w:t>
      </w:r>
    </w:p>
    <w:p w:rsidR="00C9466F" w:rsidRPr="00C9466F" w:rsidRDefault="00C9466F" w:rsidP="00C9466F">
      <w:pPr>
        <w:spacing w:after="240"/>
        <w:ind w:firstLine="540"/>
        <w:jc w:val="both"/>
        <w:rPr>
          <w:b/>
          <w:u w:val="single"/>
        </w:rPr>
      </w:pPr>
      <w:r w:rsidRPr="00C9466F">
        <w:rPr>
          <w:b/>
          <w:u w:val="single"/>
        </w:rPr>
        <w:t>Τα οφέλη από την Ευρώπη</w:t>
      </w:r>
    </w:p>
    <w:p w:rsidR="00A92C1B" w:rsidRDefault="00365834" w:rsidP="00C9466F">
      <w:pPr>
        <w:spacing w:after="240"/>
        <w:ind w:firstLine="540"/>
        <w:jc w:val="both"/>
      </w:pPr>
      <w:r>
        <w:t xml:space="preserve">Οι Έλληνες, βυθισμένοι στην οικονομική κρίση, έχουμε σοβαρούς λόγους να δυσφορούμε για τις υπερβολικές αξιώσεις των εταίρων </w:t>
      </w:r>
      <w:r w:rsidR="00705C72">
        <w:t>μας και την ανεπάρκεια της κοινοτικής αλληλεγγύης</w:t>
      </w:r>
      <w:r>
        <w:t>. Δεν μπορεί, ωστόσο, να λησμονούμε τα διαχρονικά οικονομικά, πολιτικά και εθνικά οφέλη της συμμετοχής μας στην Ένωση. Ούτε και το γεγονός πως δεν θα μπορούσαμε μόνοι ούτε την οικονομική κρίση, ούτε το μεταναστευτικό να αντιμετωπίσουμε.</w:t>
      </w:r>
    </w:p>
    <w:p w:rsidR="00365834" w:rsidRPr="009B3FB1" w:rsidRDefault="00365834" w:rsidP="00365834">
      <w:pPr>
        <w:ind w:firstLine="540"/>
        <w:jc w:val="both"/>
        <w:rPr>
          <w:b/>
        </w:rPr>
      </w:pPr>
      <w:r>
        <w:t>Έχουμε, επομένως, κάθε λόγο να επιμείνουμε αταλάντευτα</w:t>
      </w:r>
      <w:r w:rsidR="009B3FB1">
        <w:t>:</w:t>
      </w:r>
      <w:r>
        <w:t xml:space="preserve"> </w:t>
      </w:r>
      <w:r w:rsidR="009B3FB1">
        <w:t xml:space="preserve"> </w:t>
      </w:r>
      <w:r w:rsidRPr="009B3FB1">
        <w:rPr>
          <w:b/>
        </w:rPr>
        <w:t xml:space="preserve">Η Ελλάδα να παραμείνει στον πυρήνα της ευρωπαϊκής εμβάθυνσης, ενεργά συμμέτοχος στις διαδικασίες ολοκλήρωσης του ευρωπαϊκού οικοδομήματος. </w:t>
      </w:r>
    </w:p>
    <w:p w:rsidR="00FA7FFB" w:rsidRDefault="00FA7FFB" w:rsidP="00FA7FFB">
      <w:pPr>
        <w:ind w:firstLine="720"/>
        <w:jc w:val="right"/>
        <w:rPr>
          <w:rFonts w:ascii="Arial" w:hAnsi="Arial" w:cs="Arial"/>
          <w:b/>
        </w:rPr>
      </w:pPr>
    </w:p>
    <w:sectPr w:rsidR="00FA7FFB"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A12" w:rsidRDefault="00FE2A12">
      <w:r>
        <w:separator/>
      </w:r>
    </w:p>
  </w:endnote>
  <w:endnote w:type="continuationSeparator" w:id="0">
    <w:p w:rsidR="00FE2A12" w:rsidRDefault="00FE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431B80">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A12" w:rsidRDefault="00FE2A12">
      <w:r>
        <w:separator/>
      </w:r>
    </w:p>
  </w:footnote>
  <w:footnote w:type="continuationSeparator" w:id="0">
    <w:p w:rsidR="00FE2A12" w:rsidRDefault="00FE2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C55E06" w:rsidP="00C55E06">
    <w:pPr>
      <w:pStyle w:val="a4"/>
      <w:tabs>
        <w:tab w:val="clear" w:pos="4153"/>
        <w:tab w:val="clear" w:pos="8306"/>
      </w:tabs>
      <w:jc w:val="center"/>
      <w:rPr>
        <w:lang w:val="en-US"/>
      </w:rPr>
    </w:pPr>
    <w:r>
      <w:rPr>
        <w:noProof/>
      </w:rPr>
      <w:drawing>
        <wp:anchor distT="0" distB="0" distL="114300" distR="114300" simplePos="0" relativeHeight="251657728" behindDoc="1" locked="0" layoutInCell="1" allowOverlap="0">
          <wp:simplePos x="0" y="0"/>
          <wp:positionH relativeFrom="column">
            <wp:posOffset>2080260</wp:posOffset>
          </wp:positionH>
          <wp:positionV relativeFrom="paragraph">
            <wp:posOffset>71120</wp:posOffset>
          </wp:positionV>
          <wp:extent cx="1018800" cy="666000"/>
          <wp:effectExtent l="0" t="0" r="0" b="127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8800" cy="66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C55E06">
    <w:pPr>
      <w:pStyle w:val="a4"/>
      <w:tabs>
        <w:tab w:val="clear" w:pos="4153"/>
        <w:tab w:val="clear" w:pos="8306"/>
      </w:tabs>
      <w:jc w:val="center"/>
    </w:pPr>
  </w:p>
  <w:p w:rsidR="004D0867" w:rsidRPr="005C42D2" w:rsidRDefault="004D0867" w:rsidP="00C55E06">
    <w:pPr>
      <w:pStyle w:val="a4"/>
      <w:tabs>
        <w:tab w:val="clear" w:pos="8306"/>
      </w:tabs>
      <w:jc w:val="center"/>
      <w:rPr>
        <w:sz w:val="14"/>
      </w:rPr>
    </w:pPr>
  </w:p>
  <w:p w:rsidR="004D0867" w:rsidRDefault="004D0867" w:rsidP="00C55E06">
    <w:pPr>
      <w:pStyle w:val="a4"/>
      <w:jc w:val="center"/>
    </w:pPr>
  </w:p>
  <w:p w:rsidR="004D0867" w:rsidRDefault="004D0867" w:rsidP="00C55E06">
    <w:pPr>
      <w:pStyle w:val="a4"/>
      <w:jc w:val="center"/>
    </w:pPr>
  </w:p>
  <w:p w:rsidR="004D0867" w:rsidRPr="007672AD" w:rsidRDefault="004D0867" w:rsidP="00C55E06">
    <w:pPr>
      <w:pStyle w:val="a4"/>
      <w:jc w:val="center"/>
      <w:rPr>
        <w:sz w:val="2"/>
      </w:rPr>
    </w:pPr>
  </w:p>
  <w:p w:rsidR="004D0867" w:rsidRPr="005C42D2" w:rsidRDefault="004D0867" w:rsidP="00C55E06">
    <w:pPr>
      <w:pStyle w:val="a4"/>
      <w:jc w:val="center"/>
      <w:rPr>
        <w:rFonts w:ascii="Book Antiqua" w:hAnsi="Book Antiqua" w:cs="Arial"/>
        <w:b/>
        <w:sz w:val="22"/>
        <w:szCs w:val="20"/>
      </w:rPr>
    </w:pPr>
    <w:r w:rsidRPr="005C42D2">
      <w:rPr>
        <w:rFonts w:ascii="Book Antiqua" w:hAnsi="Book Antiqua" w:cs="Arial"/>
        <w:b/>
        <w:sz w:val="22"/>
        <w:szCs w:val="20"/>
      </w:rPr>
      <w:t>ΒΟΥΛΗ ΤΩΝ ΕΛΛΗΝΩΝ</w:t>
    </w:r>
  </w:p>
  <w:p w:rsidR="00F7282C" w:rsidRPr="00E77335" w:rsidRDefault="00F7282C" w:rsidP="00C55E06">
    <w:pPr>
      <w:pStyle w:val="a3"/>
      <w:spacing w:line="360" w:lineRule="auto"/>
      <w:ind w:right="44"/>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E5738C"/>
    <w:multiLevelType w:val="hybridMultilevel"/>
    <w:tmpl w:val="EE9CA0C0"/>
    <w:lvl w:ilvl="0" w:tplc="01B4CFD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8"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3"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6"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3"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9"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27"/>
  </w:num>
  <w:num w:numId="4">
    <w:abstractNumId w:val="35"/>
  </w:num>
  <w:num w:numId="5">
    <w:abstractNumId w:val="8"/>
  </w:num>
  <w:num w:numId="6">
    <w:abstractNumId w:val="2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33"/>
  </w:num>
  <w:num w:numId="17">
    <w:abstractNumId w:val="25"/>
  </w:num>
  <w:num w:numId="18">
    <w:abstractNumId w:val="39"/>
  </w:num>
  <w:num w:numId="19">
    <w:abstractNumId w:val="7"/>
  </w:num>
  <w:num w:numId="20">
    <w:abstractNumId w:val="9"/>
  </w:num>
  <w:num w:numId="21">
    <w:abstractNumId w:val="15"/>
  </w:num>
  <w:num w:numId="2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4"/>
  </w:num>
  <w:num w:numId="33">
    <w:abstractNumId w:val="19"/>
  </w:num>
  <w:num w:numId="34">
    <w:abstractNumId w:val="13"/>
  </w:num>
  <w:num w:numId="35">
    <w:abstractNumId w:val="10"/>
  </w:num>
  <w:num w:numId="36">
    <w:abstractNumId w:val="20"/>
  </w:num>
  <w:num w:numId="37">
    <w:abstractNumId w:val="23"/>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41866"/>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C3594"/>
    <w:rsid w:val="000C5432"/>
    <w:rsid w:val="000C55DF"/>
    <w:rsid w:val="000C5E32"/>
    <w:rsid w:val="000D11F3"/>
    <w:rsid w:val="000D2885"/>
    <w:rsid w:val="000D6EE3"/>
    <w:rsid w:val="000D7CF7"/>
    <w:rsid w:val="000E2238"/>
    <w:rsid w:val="000E2475"/>
    <w:rsid w:val="000E2E62"/>
    <w:rsid w:val="000E421D"/>
    <w:rsid w:val="000E4A5A"/>
    <w:rsid w:val="000E592F"/>
    <w:rsid w:val="000F134A"/>
    <w:rsid w:val="000F3F50"/>
    <w:rsid w:val="00114E39"/>
    <w:rsid w:val="001229CC"/>
    <w:rsid w:val="001245B4"/>
    <w:rsid w:val="00131526"/>
    <w:rsid w:val="001318A0"/>
    <w:rsid w:val="00132514"/>
    <w:rsid w:val="00135F56"/>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B28DF"/>
    <w:rsid w:val="001B4B6D"/>
    <w:rsid w:val="001C2EB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17CE1"/>
    <w:rsid w:val="00222D05"/>
    <w:rsid w:val="00223194"/>
    <w:rsid w:val="00225859"/>
    <w:rsid w:val="0022586C"/>
    <w:rsid w:val="00227404"/>
    <w:rsid w:val="00227E1E"/>
    <w:rsid w:val="002402EA"/>
    <w:rsid w:val="00240BD6"/>
    <w:rsid w:val="00242837"/>
    <w:rsid w:val="0025377C"/>
    <w:rsid w:val="00266B18"/>
    <w:rsid w:val="002735EC"/>
    <w:rsid w:val="00277F5E"/>
    <w:rsid w:val="00280904"/>
    <w:rsid w:val="00281EF7"/>
    <w:rsid w:val="00293F3D"/>
    <w:rsid w:val="002A44E4"/>
    <w:rsid w:val="002B1938"/>
    <w:rsid w:val="002B67C4"/>
    <w:rsid w:val="002D4A9D"/>
    <w:rsid w:val="002D5342"/>
    <w:rsid w:val="002D66EC"/>
    <w:rsid w:val="002E1956"/>
    <w:rsid w:val="002E25F4"/>
    <w:rsid w:val="002E4F90"/>
    <w:rsid w:val="00303332"/>
    <w:rsid w:val="00312D1D"/>
    <w:rsid w:val="0031752F"/>
    <w:rsid w:val="003275DF"/>
    <w:rsid w:val="003349CB"/>
    <w:rsid w:val="00334C5E"/>
    <w:rsid w:val="003437EA"/>
    <w:rsid w:val="003475CA"/>
    <w:rsid w:val="00360214"/>
    <w:rsid w:val="003647C7"/>
    <w:rsid w:val="00365834"/>
    <w:rsid w:val="0037253B"/>
    <w:rsid w:val="00373A07"/>
    <w:rsid w:val="00377238"/>
    <w:rsid w:val="00381DEE"/>
    <w:rsid w:val="00392494"/>
    <w:rsid w:val="0039371D"/>
    <w:rsid w:val="003949E9"/>
    <w:rsid w:val="003956B4"/>
    <w:rsid w:val="003968DA"/>
    <w:rsid w:val="00397636"/>
    <w:rsid w:val="003A02E9"/>
    <w:rsid w:val="003A12EC"/>
    <w:rsid w:val="003A155E"/>
    <w:rsid w:val="003B5539"/>
    <w:rsid w:val="003D60C4"/>
    <w:rsid w:val="003E22F9"/>
    <w:rsid w:val="003E7F63"/>
    <w:rsid w:val="003F03DB"/>
    <w:rsid w:val="003F04D6"/>
    <w:rsid w:val="003F0765"/>
    <w:rsid w:val="00400801"/>
    <w:rsid w:val="004135E1"/>
    <w:rsid w:val="0041497B"/>
    <w:rsid w:val="00423460"/>
    <w:rsid w:val="00431B80"/>
    <w:rsid w:val="00434CC1"/>
    <w:rsid w:val="004355DB"/>
    <w:rsid w:val="004364DF"/>
    <w:rsid w:val="00436EE2"/>
    <w:rsid w:val="004466FB"/>
    <w:rsid w:val="00446BEA"/>
    <w:rsid w:val="00451203"/>
    <w:rsid w:val="00455EF8"/>
    <w:rsid w:val="00483F70"/>
    <w:rsid w:val="0048645B"/>
    <w:rsid w:val="00492C52"/>
    <w:rsid w:val="0049463F"/>
    <w:rsid w:val="004947D6"/>
    <w:rsid w:val="004A1AE9"/>
    <w:rsid w:val="004A1EAB"/>
    <w:rsid w:val="004B0FD3"/>
    <w:rsid w:val="004C081F"/>
    <w:rsid w:val="004C2675"/>
    <w:rsid w:val="004C6518"/>
    <w:rsid w:val="004C6D97"/>
    <w:rsid w:val="004D0867"/>
    <w:rsid w:val="004D27FE"/>
    <w:rsid w:val="004D4BF7"/>
    <w:rsid w:val="004F1273"/>
    <w:rsid w:val="00502A1A"/>
    <w:rsid w:val="0050474F"/>
    <w:rsid w:val="0050480D"/>
    <w:rsid w:val="00513210"/>
    <w:rsid w:val="00514CD0"/>
    <w:rsid w:val="00533410"/>
    <w:rsid w:val="005335AC"/>
    <w:rsid w:val="00546A04"/>
    <w:rsid w:val="005511FF"/>
    <w:rsid w:val="00551FAB"/>
    <w:rsid w:val="00553D60"/>
    <w:rsid w:val="005613D0"/>
    <w:rsid w:val="0056239C"/>
    <w:rsid w:val="00571145"/>
    <w:rsid w:val="0057333A"/>
    <w:rsid w:val="0057648E"/>
    <w:rsid w:val="00584F12"/>
    <w:rsid w:val="00585AAD"/>
    <w:rsid w:val="00585B9E"/>
    <w:rsid w:val="005A196C"/>
    <w:rsid w:val="005A717C"/>
    <w:rsid w:val="005A74DA"/>
    <w:rsid w:val="005A7D62"/>
    <w:rsid w:val="005C2C13"/>
    <w:rsid w:val="005C3A91"/>
    <w:rsid w:val="005C5FC1"/>
    <w:rsid w:val="005D1CC5"/>
    <w:rsid w:val="005D20AD"/>
    <w:rsid w:val="005D641E"/>
    <w:rsid w:val="005E153E"/>
    <w:rsid w:val="006270F1"/>
    <w:rsid w:val="00632907"/>
    <w:rsid w:val="00633922"/>
    <w:rsid w:val="00644FB0"/>
    <w:rsid w:val="00650C99"/>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49E6"/>
    <w:rsid w:val="006D5ABF"/>
    <w:rsid w:val="006E0E81"/>
    <w:rsid w:val="006E518E"/>
    <w:rsid w:val="006E5569"/>
    <w:rsid w:val="006F71A9"/>
    <w:rsid w:val="006F76FC"/>
    <w:rsid w:val="00701A45"/>
    <w:rsid w:val="00705C72"/>
    <w:rsid w:val="00706699"/>
    <w:rsid w:val="00710B9B"/>
    <w:rsid w:val="0071139F"/>
    <w:rsid w:val="0071398A"/>
    <w:rsid w:val="00717C5C"/>
    <w:rsid w:val="007216EA"/>
    <w:rsid w:val="00722A6C"/>
    <w:rsid w:val="0072563B"/>
    <w:rsid w:val="00725AAF"/>
    <w:rsid w:val="0073193F"/>
    <w:rsid w:val="0073621C"/>
    <w:rsid w:val="0074161D"/>
    <w:rsid w:val="00741738"/>
    <w:rsid w:val="007444BD"/>
    <w:rsid w:val="007556D9"/>
    <w:rsid w:val="007564D3"/>
    <w:rsid w:val="0075760B"/>
    <w:rsid w:val="00773A3E"/>
    <w:rsid w:val="00784AF8"/>
    <w:rsid w:val="00784FBD"/>
    <w:rsid w:val="00786387"/>
    <w:rsid w:val="00787220"/>
    <w:rsid w:val="00794528"/>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208A1"/>
    <w:rsid w:val="00823F23"/>
    <w:rsid w:val="00826DDD"/>
    <w:rsid w:val="00827295"/>
    <w:rsid w:val="0084031D"/>
    <w:rsid w:val="0084419E"/>
    <w:rsid w:val="0085123F"/>
    <w:rsid w:val="008577B6"/>
    <w:rsid w:val="00865037"/>
    <w:rsid w:val="00880C68"/>
    <w:rsid w:val="008865C3"/>
    <w:rsid w:val="00892948"/>
    <w:rsid w:val="008A081C"/>
    <w:rsid w:val="008A1019"/>
    <w:rsid w:val="008B5DCE"/>
    <w:rsid w:val="008C7E7A"/>
    <w:rsid w:val="008D0A83"/>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7643"/>
    <w:rsid w:val="0093039D"/>
    <w:rsid w:val="0093443B"/>
    <w:rsid w:val="00942094"/>
    <w:rsid w:val="00950D8D"/>
    <w:rsid w:val="00951E0F"/>
    <w:rsid w:val="00953062"/>
    <w:rsid w:val="00953764"/>
    <w:rsid w:val="009667DA"/>
    <w:rsid w:val="00970AAD"/>
    <w:rsid w:val="009937C2"/>
    <w:rsid w:val="009A094A"/>
    <w:rsid w:val="009A7459"/>
    <w:rsid w:val="009B0FB2"/>
    <w:rsid w:val="009B1E14"/>
    <w:rsid w:val="009B3FB1"/>
    <w:rsid w:val="009B52AD"/>
    <w:rsid w:val="009C11D7"/>
    <w:rsid w:val="009C5B90"/>
    <w:rsid w:val="009D0572"/>
    <w:rsid w:val="009E2E7F"/>
    <w:rsid w:val="009F3173"/>
    <w:rsid w:val="00A0037A"/>
    <w:rsid w:val="00A0297E"/>
    <w:rsid w:val="00A0618C"/>
    <w:rsid w:val="00A1036C"/>
    <w:rsid w:val="00A10C78"/>
    <w:rsid w:val="00A12C43"/>
    <w:rsid w:val="00A1587F"/>
    <w:rsid w:val="00A31CE8"/>
    <w:rsid w:val="00A31E0B"/>
    <w:rsid w:val="00A34786"/>
    <w:rsid w:val="00A35863"/>
    <w:rsid w:val="00A43050"/>
    <w:rsid w:val="00A430F6"/>
    <w:rsid w:val="00A46F1B"/>
    <w:rsid w:val="00A473E3"/>
    <w:rsid w:val="00A70256"/>
    <w:rsid w:val="00A71623"/>
    <w:rsid w:val="00A71DFA"/>
    <w:rsid w:val="00A74CEC"/>
    <w:rsid w:val="00A75400"/>
    <w:rsid w:val="00A75E54"/>
    <w:rsid w:val="00A766A6"/>
    <w:rsid w:val="00A814CD"/>
    <w:rsid w:val="00A815BF"/>
    <w:rsid w:val="00A86CC2"/>
    <w:rsid w:val="00A90B0F"/>
    <w:rsid w:val="00A91866"/>
    <w:rsid w:val="00A92C1B"/>
    <w:rsid w:val="00AA18D9"/>
    <w:rsid w:val="00AA7372"/>
    <w:rsid w:val="00AA780C"/>
    <w:rsid w:val="00AB1A01"/>
    <w:rsid w:val="00AB1EFB"/>
    <w:rsid w:val="00AB650A"/>
    <w:rsid w:val="00AC1F75"/>
    <w:rsid w:val="00AC4F68"/>
    <w:rsid w:val="00AC6E69"/>
    <w:rsid w:val="00AD0B7C"/>
    <w:rsid w:val="00AD399C"/>
    <w:rsid w:val="00AE0987"/>
    <w:rsid w:val="00AE3C19"/>
    <w:rsid w:val="00AF4FBF"/>
    <w:rsid w:val="00B0061A"/>
    <w:rsid w:val="00B06B9C"/>
    <w:rsid w:val="00B0761A"/>
    <w:rsid w:val="00B07963"/>
    <w:rsid w:val="00B17EEA"/>
    <w:rsid w:val="00B24BAD"/>
    <w:rsid w:val="00B30422"/>
    <w:rsid w:val="00B308A1"/>
    <w:rsid w:val="00B3626A"/>
    <w:rsid w:val="00B403E3"/>
    <w:rsid w:val="00B4214A"/>
    <w:rsid w:val="00B5526A"/>
    <w:rsid w:val="00B64D7A"/>
    <w:rsid w:val="00BA2145"/>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18CD"/>
    <w:rsid w:val="00C400C6"/>
    <w:rsid w:val="00C438AA"/>
    <w:rsid w:val="00C55E06"/>
    <w:rsid w:val="00C67D9A"/>
    <w:rsid w:val="00C73DD2"/>
    <w:rsid w:val="00C82D92"/>
    <w:rsid w:val="00C84074"/>
    <w:rsid w:val="00C9466F"/>
    <w:rsid w:val="00C964CD"/>
    <w:rsid w:val="00C970B3"/>
    <w:rsid w:val="00C972F5"/>
    <w:rsid w:val="00CB3E28"/>
    <w:rsid w:val="00CB4A95"/>
    <w:rsid w:val="00CB6B9B"/>
    <w:rsid w:val="00CC5376"/>
    <w:rsid w:val="00CC7789"/>
    <w:rsid w:val="00CD6FB8"/>
    <w:rsid w:val="00CD77DB"/>
    <w:rsid w:val="00CE5013"/>
    <w:rsid w:val="00CF3D1C"/>
    <w:rsid w:val="00CF5810"/>
    <w:rsid w:val="00CF7400"/>
    <w:rsid w:val="00D06989"/>
    <w:rsid w:val="00D06B7F"/>
    <w:rsid w:val="00D0736B"/>
    <w:rsid w:val="00D10D61"/>
    <w:rsid w:val="00D12A78"/>
    <w:rsid w:val="00D13306"/>
    <w:rsid w:val="00D14F27"/>
    <w:rsid w:val="00D226F6"/>
    <w:rsid w:val="00D23A40"/>
    <w:rsid w:val="00D23EB2"/>
    <w:rsid w:val="00D2590D"/>
    <w:rsid w:val="00D45ED4"/>
    <w:rsid w:val="00D47A87"/>
    <w:rsid w:val="00D516D6"/>
    <w:rsid w:val="00D561AD"/>
    <w:rsid w:val="00D61CA9"/>
    <w:rsid w:val="00D66571"/>
    <w:rsid w:val="00D70F55"/>
    <w:rsid w:val="00D742C1"/>
    <w:rsid w:val="00D828E2"/>
    <w:rsid w:val="00D83171"/>
    <w:rsid w:val="00D8623A"/>
    <w:rsid w:val="00D871DD"/>
    <w:rsid w:val="00DA1D86"/>
    <w:rsid w:val="00DA4AAD"/>
    <w:rsid w:val="00DA76FF"/>
    <w:rsid w:val="00DB42B2"/>
    <w:rsid w:val="00DC5FE2"/>
    <w:rsid w:val="00DD12E9"/>
    <w:rsid w:val="00DD36AC"/>
    <w:rsid w:val="00DE3FCA"/>
    <w:rsid w:val="00DF2A98"/>
    <w:rsid w:val="00E01EB8"/>
    <w:rsid w:val="00E133F5"/>
    <w:rsid w:val="00E17981"/>
    <w:rsid w:val="00E20498"/>
    <w:rsid w:val="00E20C3B"/>
    <w:rsid w:val="00E22776"/>
    <w:rsid w:val="00E24785"/>
    <w:rsid w:val="00E35AC1"/>
    <w:rsid w:val="00E37C6F"/>
    <w:rsid w:val="00E47909"/>
    <w:rsid w:val="00E51718"/>
    <w:rsid w:val="00E57B72"/>
    <w:rsid w:val="00E72B66"/>
    <w:rsid w:val="00E72EB4"/>
    <w:rsid w:val="00E77335"/>
    <w:rsid w:val="00E917D0"/>
    <w:rsid w:val="00E93047"/>
    <w:rsid w:val="00E95CEE"/>
    <w:rsid w:val="00EA0897"/>
    <w:rsid w:val="00EA6803"/>
    <w:rsid w:val="00EA79C0"/>
    <w:rsid w:val="00EB1870"/>
    <w:rsid w:val="00EB45FF"/>
    <w:rsid w:val="00EB7A3F"/>
    <w:rsid w:val="00EE1A90"/>
    <w:rsid w:val="00EE7570"/>
    <w:rsid w:val="00EF5248"/>
    <w:rsid w:val="00EF6B5B"/>
    <w:rsid w:val="00EF7C1D"/>
    <w:rsid w:val="00F00ECD"/>
    <w:rsid w:val="00F012F0"/>
    <w:rsid w:val="00F02B7C"/>
    <w:rsid w:val="00F105A5"/>
    <w:rsid w:val="00F12523"/>
    <w:rsid w:val="00F14BCE"/>
    <w:rsid w:val="00F1655A"/>
    <w:rsid w:val="00F170A7"/>
    <w:rsid w:val="00F219FF"/>
    <w:rsid w:val="00F37B29"/>
    <w:rsid w:val="00F53622"/>
    <w:rsid w:val="00F55FC1"/>
    <w:rsid w:val="00F57E3F"/>
    <w:rsid w:val="00F6103C"/>
    <w:rsid w:val="00F7282C"/>
    <w:rsid w:val="00F8352F"/>
    <w:rsid w:val="00F91D45"/>
    <w:rsid w:val="00FA7FFB"/>
    <w:rsid w:val="00FC46F5"/>
    <w:rsid w:val="00FC556F"/>
    <w:rsid w:val="00FE0336"/>
    <w:rsid w:val="00FE2A12"/>
    <w:rsid w:val="00FE5D52"/>
    <w:rsid w:val="00FE7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4D36F9-193D-43ED-9D5A-F0F4F6AB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D23EB2"/>
    <w:rPr>
      <w:rFonts w:ascii="Calibri" w:eastAsiaTheme="minorHAnsi" w:hAnsi="Calibri" w:cstheme="minorBidi"/>
      <w:sz w:val="22"/>
      <w:szCs w:val="21"/>
      <w:lang w:eastAsia="en-US"/>
    </w:rPr>
  </w:style>
  <w:style w:type="character" w:customStyle="1" w:styleId="Char0">
    <w:name w:val="Απλό κείμενο Char"/>
    <w:basedOn w:val="a0"/>
    <w:link w:val="ad"/>
    <w:uiPriority w:val="99"/>
    <w:rsid w:val="00D23EB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96252">
      <w:bodyDiv w:val="1"/>
      <w:marLeft w:val="0"/>
      <w:marRight w:val="0"/>
      <w:marTop w:val="0"/>
      <w:marBottom w:val="0"/>
      <w:divBdr>
        <w:top w:val="none" w:sz="0" w:space="0" w:color="auto"/>
        <w:left w:val="none" w:sz="0" w:space="0" w:color="auto"/>
        <w:bottom w:val="none" w:sz="0" w:space="0" w:color="auto"/>
        <w:right w:val="none" w:sz="0" w:space="0" w:color="auto"/>
      </w:divBdr>
      <w:divsChild>
        <w:div w:id="1073620411">
          <w:marLeft w:val="0"/>
          <w:marRight w:val="0"/>
          <w:marTop w:val="0"/>
          <w:marBottom w:val="0"/>
          <w:divBdr>
            <w:top w:val="none" w:sz="0" w:space="0" w:color="auto"/>
            <w:left w:val="none" w:sz="0" w:space="0" w:color="auto"/>
            <w:bottom w:val="none" w:sz="0" w:space="0" w:color="auto"/>
            <w:right w:val="none" w:sz="0" w:space="0" w:color="auto"/>
          </w:divBdr>
          <w:divsChild>
            <w:div w:id="1451048119">
              <w:marLeft w:val="0"/>
              <w:marRight w:val="0"/>
              <w:marTop w:val="0"/>
              <w:marBottom w:val="0"/>
              <w:divBdr>
                <w:top w:val="none" w:sz="0" w:space="0" w:color="auto"/>
                <w:left w:val="none" w:sz="0" w:space="0" w:color="auto"/>
                <w:bottom w:val="none" w:sz="0" w:space="0" w:color="auto"/>
                <w:right w:val="none" w:sz="0" w:space="0" w:color="auto"/>
              </w:divBdr>
              <w:divsChild>
                <w:div w:id="1377925317">
                  <w:marLeft w:val="0"/>
                  <w:marRight w:val="0"/>
                  <w:marTop w:val="0"/>
                  <w:marBottom w:val="0"/>
                  <w:divBdr>
                    <w:top w:val="none" w:sz="0" w:space="0" w:color="auto"/>
                    <w:left w:val="none" w:sz="0" w:space="0" w:color="auto"/>
                    <w:bottom w:val="none" w:sz="0" w:space="0" w:color="auto"/>
                    <w:right w:val="none" w:sz="0" w:space="0" w:color="auto"/>
                  </w:divBdr>
                  <w:divsChild>
                    <w:div w:id="1335914786">
                      <w:marLeft w:val="0"/>
                      <w:marRight w:val="0"/>
                      <w:marTop w:val="0"/>
                      <w:marBottom w:val="0"/>
                      <w:divBdr>
                        <w:top w:val="none" w:sz="0" w:space="0" w:color="auto"/>
                        <w:left w:val="none" w:sz="0" w:space="0" w:color="auto"/>
                        <w:bottom w:val="none" w:sz="0" w:space="0" w:color="auto"/>
                        <w:right w:val="none" w:sz="0" w:space="0" w:color="auto"/>
                      </w:divBdr>
                      <w:divsChild>
                        <w:div w:id="285698184">
                          <w:marLeft w:val="0"/>
                          <w:marRight w:val="0"/>
                          <w:marTop w:val="0"/>
                          <w:marBottom w:val="0"/>
                          <w:divBdr>
                            <w:top w:val="none" w:sz="0" w:space="0" w:color="auto"/>
                            <w:left w:val="none" w:sz="0" w:space="0" w:color="auto"/>
                            <w:bottom w:val="none" w:sz="0" w:space="0" w:color="auto"/>
                            <w:right w:val="none" w:sz="0" w:space="0" w:color="auto"/>
                          </w:divBdr>
                          <w:divsChild>
                            <w:div w:id="26028609">
                              <w:marLeft w:val="0"/>
                              <w:marRight w:val="0"/>
                              <w:marTop w:val="0"/>
                              <w:marBottom w:val="0"/>
                              <w:divBdr>
                                <w:top w:val="none" w:sz="0" w:space="0" w:color="auto"/>
                                <w:left w:val="none" w:sz="0" w:space="0" w:color="auto"/>
                                <w:bottom w:val="none" w:sz="0" w:space="0" w:color="auto"/>
                                <w:right w:val="none" w:sz="0" w:space="0" w:color="auto"/>
                              </w:divBdr>
                              <w:divsChild>
                                <w:div w:id="2107840744">
                                  <w:marLeft w:val="0"/>
                                  <w:marRight w:val="0"/>
                                  <w:marTop w:val="0"/>
                                  <w:marBottom w:val="0"/>
                                  <w:divBdr>
                                    <w:top w:val="none" w:sz="0" w:space="0" w:color="auto"/>
                                    <w:left w:val="none" w:sz="0" w:space="0" w:color="auto"/>
                                    <w:bottom w:val="none" w:sz="0" w:space="0" w:color="auto"/>
                                    <w:right w:val="none" w:sz="0" w:space="0" w:color="auto"/>
                                  </w:divBdr>
                                  <w:divsChild>
                                    <w:div w:id="1765030549">
                                      <w:marLeft w:val="0"/>
                                      <w:marRight w:val="0"/>
                                      <w:marTop w:val="0"/>
                                      <w:marBottom w:val="0"/>
                                      <w:divBdr>
                                        <w:top w:val="none" w:sz="0" w:space="0" w:color="auto"/>
                                        <w:left w:val="none" w:sz="0" w:space="0" w:color="auto"/>
                                        <w:bottom w:val="none" w:sz="0" w:space="0" w:color="auto"/>
                                        <w:right w:val="none" w:sz="0" w:space="0" w:color="auto"/>
                                      </w:divBdr>
                                      <w:divsChild>
                                        <w:div w:id="262542997">
                                          <w:marLeft w:val="0"/>
                                          <w:marRight w:val="0"/>
                                          <w:marTop w:val="0"/>
                                          <w:marBottom w:val="0"/>
                                          <w:divBdr>
                                            <w:top w:val="none" w:sz="0" w:space="0" w:color="auto"/>
                                            <w:left w:val="none" w:sz="0" w:space="0" w:color="auto"/>
                                            <w:bottom w:val="none" w:sz="0" w:space="0" w:color="auto"/>
                                            <w:right w:val="none" w:sz="0" w:space="0" w:color="auto"/>
                                          </w:divBdr>
                                          <w:divsChild>
                                            <w:div w:id="958030044">
                                              <w:marLeft w:val="0"/>
                                              <w:marRight w:val="0"/>
                                              <w:marTop w:val="0"/>
                                              <w:marBottom w:val="0"/>
                                              <w:divBdr>
                                                <w:top w:val="none" w:sz="0" w:space="0" w:color="auto"/>
                                                <w:left w:val="none" w:sz="0" w:space="0" w:color="auto"/>
                                                <w:bottom w:val="none" w:sz="0" w:space="0" w:color="auto"/>
                                                <w:right w:val="none" w:sz="0" w:space="0" w:color="auto"/>
                                              </w:divBdr>
                                              <w:divsChild>
                                                <w:div w:id="1279944439">
                                                  <w:marLeft w:val="0"/>
                                                  <w:marRight w:val="0"/>
                                                  <w:marTop w:val="0"/>
                                                  <w:marBottom w:val="0"/>
                                                  <w:divBdr>
                                                    <w:top w:val="none" w:sz="0" w:space="0" w:color="auto"/>
                                                    <w:left w:val="none" w:sz="0" w:space="0" w:color="auto"/>
                                                    <w:bottom w:val="none" w:sz="0" w:space="0" w:color="auto"/>
                                                    <w:right w:val="none" w:sz="0" w:space="0" w:color="auto"/>
                                                  </w:divBdr>
                                                  <w:divsChild>
                                                    <w:div w:id="1411541512">
                                                      <w:marLeft w:val="0"/>
                                                      <w:marRight w:val="0"/>
                                                      <w:marTop w:val="0"/>
                                                      <w:marBottom w:val="0"/>
                                                      <w:divBdr>
                                                        <w:top w:val="none" w:sz="0" w:space="0" w:color="auto"/>
                                                        <w:left w:val="none" w:sz="0" w:space="0" w:color="auto"/>
                                                        <w:bottom w:val="none" w:sz="0" w:space="0" w:color="auto"/>
                                                        <w:right w:val="none" w:sz="0" w:space="0" w:color="auto"/>
                                                      </w:divBdr>
                                                      <w:divsChild>
                                                        <w:div w:id="1698853718">
                                                          <w:marLeft w:val="0"/>
                                                          <w:marRight w:val="0"/>
                                                          <w:marTop w:val="0"/>
                                                          <w:marBottom w:val="0"/>
                                                          <w:divBdr>
                                                            <w:top w:val="none" w:sz="0" w:space="0" w:color="auto"/>
                                                            <w:left w:val="none" w:sz="0" w:space="0" w:color="auto"/>
                                                            <w:bottom w:val="none" w:sz="0" w:space="0" w:color="auto"/>
                                                            <w:right w:val="none" w:sz="0" w:space="0" w:color="auto"/>
                                                          </w:divBdr>
                                                          <w:divsChild>
                                                            <w:div w:id="1978755832">
                                                              <w:marLeft w:val="0"/>
                                                              <w:marRight w:val="0"/>
                                                              <w:marTop w:val="0"/>
                                                              <w:marBottom w:val="0"/>
                                                              <w:divBdr>
                                                                <w:top w:val="none" w:sz="0" w:space="0" w:color="auto"/>
                                                                <w:left w:val="none" w:sz="0" w:space="0" w:color="auto"/>
                                                                <w:bottom w:val="none" w:sz="0" w:space="0" w:color="auto"/>
                                                                <w:right w:val="none" w:sz="0" w:space="0" w:color="auto"/>
                                                              </w:divBdr>
                                                              <w:divsChild>
                                                                <w:div w:id="1087388239">
                                                                  <w:marLeft w:val="0"/>
                                                                  <w:marRight w:val="0"/>
                                                                  <w:marTop w:val="450"/>
                                                                  <w:marBottom w:val="300"/>
                                                                  <w:divBdr>
                                                                    <w:top w:val="single" w:sz="6" w:space="0" w:color="185C7C"/>
                                                                    <w:left w:val="single" w:sz="6" w:space="11" w:color="185C7C"/>
                                                                    <w:bottom w:val="single" w:sz="6" w:space="0" w:color="185C7C"/>
                                                                    <w:right w:val="single" w:sz="6" w:space="11" w:color="185C7C"/>
                                                                  </w:divBdr>
                                                                  <w:divsChild>
                                                                    <w:div w:id="1399474473">
                                                                      <w:marLeft w:val="0"/>
                                                                      <w:marRight w:val="0"/>
                                                                      <w:marTop w:val="0"/>
                                                                      <w:marBottom w:val="0"/>
                                                                      <w:divBdr>
                                                                        <w:top w:val="none" w:sz="0" w:space="0" w:color="auto"/>
                                                                        <w:left w:val="none" w:sz="0" w:space="0" w:color="auto"/>
                                                                        <w:bottom w:val="none" w:sz="0" w:space="0" w:color="auto"/>
                                                                        <w:right w:val="none" w:sz="0" w:space="0" w:color="auto"/>
                                                                      </w:divBdr>
                                                                      <w:divsChild>
                                                                        <w:div w:id="1876771757">
                                                                          <w:marLeft w:val="0"/>
                                                                          <w:marRight w:val="0"/>
                                                                          <w:marTop w:val="0"/>
                                                                          <w:marBottom w:val="0"/>
                                                                          <w:divBdr>
                                                                            <w:top w:val="single" w:sz="6" w:space="11" w:color="185C7C"/>
                                                                            <w:left w:val="none" w:sz="0" w:space="0" w:color="auto"/>
                                                                            <w:bottom w:val="none" w:sz="0" w:space="0" w:color="auto"/>
                                                                            <w:right w:val="none" w:sz="0" w:space="0" w:color="auto"/>
                                                                          </w:divBdr>
                                                                          <w:divsChild>
                                                                            <w:div w:id="398291305">
                                                                              <w:marLeft w:val="0"/>
                                                                              <w:marRight w:val="0"/>
                                                                              <w:marTop w:val="0"/>
                                                                              <w:marBottom w:val="0"/>
                                                                              <w:divBdr>
                                                                                <w:top w:val="none" w:sz="0" w:space="0" w:color="auto"/>
                                                                                <w:left w:val="none" w:sz="0" w:space="0" w:color="auto"/>
                                                                                <w:bottom w:val="none" w:sz="0" w:space="0" w:color="auto"/>
                                                                                <w:right w:val="none" w:sz="0" w:space="0" w:color="auto"/>
                                                                              </w:divBdr>
                                                                              <w:divsChild>
                                                                                <w:div w:id="1854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936644301">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090031531">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2861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2017-03-16T11:20:00Z</cp:lastPrinted>
  <dcterms:created xsi:type="dcterms:W3CDTF">2017-03-16T11:21:00Z</dcterms:created>
  <dcterms:modified xsi:type="dcterms:W3CDTF">2017-03-16T11:21:00Z</dcterms:modified>
</cp:coreProperties>
</file>